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tabs>
          <w:tab w:val="left" w:pos="1680"/>
        </w:tabs>
        <w:adjustRightInd w:val="0"/>
        <w:snapToGrid w:val="0"/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大赛就业赛道方案</w:t>
      </w:r>
    </w:p>
    <w:bookmarkEnd w:id="0"/>
    <w:p>
      <w:pPr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一、比赛内容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考察学生的求职实战能力、个人发展路径与经济社会发展需要的适应度，就业能力与职业目标和岗位的契合度。</w:t>
      </w:r>
    </w:p>
    <w:p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二、参赛组别和对象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（一）就业赛道设高教组和职教组，每组均设 5 个分赛道。其中，针对企业职能岗位，设产品研发、生产服务、市场营销、通用职能分赛道（按相近行业分小组）；针对公共服务岗位，设公共服务分赛道。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（二）就业赛道参赛对象为普通高等学校全日制高年 级在校学生。高教组面向普通本科三、四年级（部分专业五年级）学生和全体研究生，职教组面向职教本科三、四年级学生和高职（专科）二、三年级学生。</w:t>
      </w:r>
    </w:p>
    <w:p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三、参赛材料要求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参赛选手在大赛平台（网址：zgs.chsi.com.cn）提交以下参赛材料：</w:t>
      </w:r>
    </w:p>
    <w:p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求职简历（PDF 格式）。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 就业能力展示（PPT 格式，不超过 50MB；可加入视频）。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 辅助证明材料，包括实践、实习、获奖等证明材料（采用PDF 格式，不超过 50MB），整合为单个文件。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 参加省级复赛的选手，需在江苏24365大学生就业服务平台（网址：https://employment.jiangsu.smartedu.cn/）提交求职简历、就业能力展示、辅助证明材料。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 复赛参赛材料上传截止时间：2023年11月15日。</w:t>
      </w:r>
    </w:p>
    <w:p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四、比赛环节</w:t>
      </w:r>
    </w:p>
    <w:p>
      <w:pPr>
        <w:snapToGrid w:val="0"/>
        <w:spacing w:line="59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省级复赛：参照全国总决赛评审规则，评委对参赛材料进行网络评审，确定入围省级决赛参赛选手。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 省级决赛：具体事宜另行通知。</w:t>
      </w:r>
    </w:p>
    <w:p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五、复赛评审标准</w:t>
      </w:r>
    </w:p>
    <w:tbl>
      <w:tblPr>
        <w:tblStyle w:val="4"/>
        <w:tblW w:w="90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884"/>
        <w:gridCol w:w="2911"/>
        <w:gridCol w:w="713"/>
        <w:gridCol w:w="706"/>
        <w:gridCol w:w="708"/>
        <w:gridCol w:w="708"/>
        <w:gridCol w:w="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" w:line="339" w:lineRule="exact"/>
              <w:ind w:left="838" w:right="831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2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0"/>
              <w:rPr>
                <w:rFonts w:eastAsia="黑体"/>
                <w:color w:val="000000"/>
              </w:rPr>
            </w:pPr>
          </w:p>
          <w:p>
            <w:pPr>
              <w:pStyle w:val="7"/>
              <w:kinsoku w:val="0"/>
              <w:overflowPunct w:val="0"/>
              <w:ind w:left="1282" w:right="1276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35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" w:line="339" w:lineRule="exact"/>
              <w:ind w:left="1074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分赛道分值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/>
              <w:ind w:left="194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一级</w:t>
            </w:r>
          </w:p>
          <w:p>
            <w:pPr>
              <w:pStyle w:val="7"/>
              <w:kinsoku w:val="0"/>
              <w:overflowPunct w:val="0"/>
              <w:spacing w:before="4" w:line="289" w:lineRule="exact"/>
              <w:ind w:left="194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指标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58"/>
              <w:ind w:left="126" w:right="117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二级指标</w:t>
            </w:r>
          </w:p>
        </w:tc>
        <w:tc>
          <w:tcPr>
            <w:tcW w:w="29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/>
              <w:ind w:left="116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产品</w:t>
            </w:r>
          </w:p>
          <w:p>
            <w:pPr>
              <w:pStyle w:val="7"/>
              <w:kinsoku w:val="0"/>
              <w:overflowPunct w:val="0"/>
              <w:spacing w:before="4" w:line="289" w:lineRule="exact"/>
              <w:ind w:left="116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研发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/>
              <w:ind w:left="111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生产</w:t>
            </w:r>
          </w:p>
          <w:p>
            <w:pPr>
              <w:pStyle w:val="7"/>
              <w:kinsoku w:val="0"/>
              <w:overflowPunct w:val="0"/>
              <w:spacing w:before="4" w:line="289" w:lineRule="exact"/>
              <w:ind w:left="111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服务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/>
              <w:ind w:left="113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市场</w:t>
            </w:r>
          </w:p>
          <w:p>
            <w:pPr>
              <w:pStyle w:val="7"/>
              <w:kinsoku w:val="0"/>
              <w:overflowPunct w:val="0"/>
              <w:spacing w:before="4" w:line="289" w:lineRule="exact"/>
              <w:ind w:left="113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营销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/>
              <w:ind w:left="113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通用</w:t>
            </w:r>
          </w:p>
          <w:p>
            <w:pPr>
              <w:pStyle w:val="7"/>
              <w:kinsoku w:val="0"/>
              <w:overflowPunct w:val="0"/>
              <w:spacing w:before="4" w:line="289" w:lineRule="exact"/>
              <w:ind w:left="113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职能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/>
              <w:ind w:left="118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公共</w:t>
            </w:r>
          </w:p>
          <w:p>
            <w:pPr>
              <w:pStyle w:val="7"/>
              <w:kinsoku w:val="0"/>
              <w:overflowPunct w:val="0"/>
              <w:spacing w:before="4" w:line="289" w:lineRule="exact"/>
              <w:ind w:left="118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before="1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244" w:lineRule="auto"/>
              <w:ind w:left="153" w:right="141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通用素质</w:t>
            </w:r>
          </w:p>
          <w:p>
            <w:pPr>
              <w:pStyle w:val="7"/>
              <w:kinsoku w:val="0"/>
              <w:overflowPunct w:val="0"/>
              <w:spacing w:line="244" w:lineRule="auto"/>
              <w:ind w:left="153" w:right="141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244" w:lineRule="auto"/>
              <w:ind w:left="153" w:right="141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244" w:lineRule="auto"/>
              <w:ind w:left="153" w:right="141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ind w:left="127" w:right="117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职业精神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"/>
              <w:ind w:left="107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具有家国情怀，有爱岗敬业、忠诚守信、奋斗奉献精神等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Times New Roman"/>
                <w:color w:val="000000"/>
                <w:sz w:val="2"/>
                <w:szCs w:val="2"/>
              </w:rPr>
              <w:t>2020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>
            <w:pPr>
              <w:pStyle w:val="7"/>
              <w:kinsoku w:val="0"/>
              <w:overflowPunct w:val="0"/>
              <w:ind w:left="2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>
            <w:pPr>
              <w:pStyle w:val="7"/>
              <w:kinsoku w:val="0"/>
              <w:overflowPunct w:val="0"/>
              <w:ind w:left="2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>
            <w:pPr>
              <w:pStyle w:val="7"/>
              <w:kinsoku w:val="0"/>
              <w:overflowPunct w:val="0"/>
              <w:ind w:left="2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>
            <w:pPr>
              <w:pStyle w:val="7"/>
              <w:kinsoku w:val="0"/>
              <w:overflowPunct w:val="0"/>
              <w:ind w:left="2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90"/>
              <w:ind w:left="127" w:right="117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心理素质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7" w:line="360" w:lineRule="atLeast"/>
              <w:ind w:left="107" w:right="94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具备目标岗位所需的意志力、抗压能力等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ind w:left="127" w:right="117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思维能力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/>
              <w:ind w:left="107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具备目标岗位所需的逻辑推理、系统分析和信息处理能力等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30"/>
              <w:ind w:left="127" w:right="117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沟通能力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50" w:line="242" w:lineRule="auto"/>
              <w:ind w:left="107" w:right="94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具备目标岗位所需的语言表达、交流协调能力等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242" w:lineRule="auto"/>
              <w:ind w:left="285" w:right="134" w:hanging="14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执行和领导能力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 w:line="242" w:lineRule="auto"/>
              <w:ind w:left="107" w:right="94"/>
              <w:jc w:val="both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  <w:t>岗位能力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岗位认知程度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 w:line="242" w:lineRule="auto"/>
              <w:ind w:right="94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岗位胜任能力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 w:line="242" w:lineRule="auto"/>
              <w:ind w:left="107" w:right="94"/>
              <w:jc w:val="both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具备目标岗位所需的专业能力、实习实践经历、解决实际工作问题的能力等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  <w:t>发展潜力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6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before="6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—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 w:line="242" w:lineRule="auto"/>
              <w:ind w:left="107" w:right="94"/>
              <w:jc w:val="both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职业目标契合行业发展前景和人才需求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E0NjkyOGNmZGMzZWM1MDFmMDUzMGQ3NjZiYzEifQ=="/>
  </w:docVars>
  <w:rsids>
    <w:rsidRoot w:val="56F90E25"/>
    <w:rsid w:val="56F9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2023-10-16T08:41:00Z</dcterms:created>
  <dc:creator>邱佩钰</dc:creator>
  <cp:lastModifiedBy>邱佩钰</cp:lastModifiedBy>
  <dcterms:modified xsi:type="dcterms:W3CDTF">2023-10-16T08:41:40Z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29BC782EADAF4817A39DA42988E32941_11</vt:lpwstr>
  </property>
</Properties>
</file>