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caps w:val="0"/>
          <w:color w:val="333333"/>
          <w:spacing w:val="8"/>
          <w:sz w:val="33"/>
          <w:szCs w:val="33"/>
        </w:rPr>
      </w:pPr>
      <w:bookmarkStart w:id="0" w:name="_GoBack"/>
      <w:bookmarkEnd w:id="0"/>
      <w:r>
        <w:rPr>
          <w:rFonts w:hint="eastAsia" w:ascii="Microsoft YaHei UI" w:hAnsi="Microsoft YaHei UI" w:eastAsia="Microsoft YaHei UI" w:cs="Microsoft YaHei UI"/>
          <w:i w:val="0"/>
          <w:caps w:val="0"/>
          <w:color w:val="333333"/>
          <w:spacing w:val="8"/>
          <w:sz w:val="33"/>
          <w:szCs w:val="33"/>
          <w:bdr w:val="none" w:color="auto" w:sz="0" w:space="0"/>
          <w:shd w:val="clear" w:fill="FFFFFF"/>
        </w:rPr>
        <w:t>警惕五一违规吃喝奢靡之风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2" w:firstLineChars="20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4月27日，中央纪委国家监委网站通报山东、广东、黑龙江、浙江、湖南等地纪检监察机关查处的31起违反中央八项规定精神典型问题，包括山东省高级人民法院原党组副书记、副院长李勇违规收受礼金、接受可能影响公正执行公务的宴请等问题，广东省佛山市人民检察院原副科职干部、一级检察官何凯翔接受管理服务对象宴请问题，浙江省工艺美术研究院有限公司在杭州某饭店违规举办团拜聚餐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Style w:val="6"/>
          <w:rFonts w:hint="eastAsia" w:ascii="Microsoft YaHei UI" w:hAnsi="Microsoft YaHei UI" w:eastAsia="Microsoft YaHei UI" w:cs="Microsoft YaHei UI"/>
          <w:i w:val="0"/>
          <w:caps w:val="0"/>
          <w:color w:val="333333"/>
          <w:spacing w:val="8"/>
          <w:sz w:val="27"/>
          <w:szCs w:val="27"/>
          <w:bdr w:val="none" w:color="auto" w:sz="0" w:space="0"/>
          <w:shd w:val="clear" w:fill="FFFFFF"/>
        </w:rPr>
        <w:t>　　自今年1月以来，中央纪委国家监委网站通报违反中央八项规定精神案例103起，其中违规吃喝问题20起。</w:t>
      </w: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通报案例表明，违规吃喝问题具有顽固性和反复性，严查享乐奢靡之风、整治违规吃喝问题丝毫不能松懈。五一端午将至，要继续保持高度警惕，强化监督检查，对违规吃喝奢靡之风扭住不放、严肃查处，释放坚决从严、持续从严、一严到底的明确信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　</w:t>
      </w:r>
      <w:r>
        <w:rPr>
          <w:rStyle w:val="6"/>
          <w:rFonts w:hint="eastAsia" w:ascii="Microsoft YaHei UI" w:hAnsi="Microsoft YaHei UI" w:eastAsia="Microsoft YaHei UI" w:cs="Microsoft YaHei UI"/>
          <w:i w:val="0"/>
          <w:caps w:val="0"/>
          <w:color w:val="333333"/>
          <w:spacing w:val="8"/>
          <w:sz w:val="27"/>
          <w:szCs w:val="27"/>
          <w:bdr w:val="none" w:color="auto" w:sz="0" w:space="0"/>
          <w:shd w:val="clear" w:fill="FFFFFF"/>
        </w:rPr>
        <w:t>　违规吃喝奢靡之风病灶未倒、病根仍在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　　浙江省杭州市富阳区粮食收储公司原经理、党总支副书记高明华，党总支原书记许路生等人，4年多的时间里在多家饭店吃喝545次，餐费金额高达77.62万元。“平均一周要吃喝2到3次，基本都是所谓的‘公务接待’。”参与办理该案的富阳区纪委监委干部何小青记忆深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　　据估算，该公司每年的业务招待费高达40多万元。为掩人耳目，高明华、许路生等人以经班子集体研究为名，授意财务人员以虚假列支等方式，将超标准公务接待的餐费以粮食运费、材料费等形式报销。2014年至2018年，高明华等人违反国家法律法规，以虚假列支等方式违规套取资金用于列支日常购买的烟酒、土特产及餐费等，累计达137.16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　　统计发现，在通报的典型案例中，违规吃喝与其他违纪行为交织的超过60%；涉案人员受到留党察看、开除党籍等重处分或移送司法机关的7起，占35%。如山东省高级人民法院原党组副书记、副院长李勇不仅违规收受礼金、接受可能影响公正执行公务的宴请、公款购买高档烟酒用于公务接待，还严重违反政治纪律、组织纪律、廉洁纪律、工作纪律、生活纪律和国家法律法规，并涉嫌受贿犯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　　中国社会科学院副研究员田坤认为，违规吃喝是“四风”典型问题，实质上也是思想不牢、党性薄弱的表现。例如，广东省阳春市春城街道七星村原党支部书记、村委会主任欧克明任职期间，大吃大喝欠下9家饭店餐费87万余元。其不仅不反思自身错误，还反问办案人员，“村集体资金本来就应该取之于民、用之于民，我身为村委会主任，拿来请村民吃饭有什么错？”在他看来，担任村党支部书记就在村里享有“话语权”，并沉迷于这种权力带来的享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　　从以上案例可以看出，违规吃喝享乐奢靡老问题的病灶未倒、病根仍在。作风建设永远在路上，纠治“四风”一刻都不能放松，必须深化认识、提高警惕，坚持不懈抓节点、强监督、促整改，坚决防止节日期间“四风”问题反弹回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Style w:val="6"/>
          <w:rFonts w:hint="eastAsia" w:ascii="Microsoft YaHei UI" w:hAnsi="Microsoft YaHei UI" w:eastAsia="Microsoft YaHei UI" w:cs="Microsoft YaHei UI"/>
          <w:i w:val="0"/>
          <w:caps w:val="0"/>
          <w:color w:val="333333"/>
          <w:spacing w:val="8"/>
          <w:sz w:val="27"/>
          <w:szCs w:val="27"/>
          <w:bdr w:val="none" w:color="auto" w:sz="0" w:space="0"/>
          <w:shd w:val="clear" w:fill="FFFFFF"/>
        </w:rPr>
        <w:t>　　隐蔽方式多种多样，监督执纪难度增大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　　党的十八大以来，驰而不息狠抓中央八项规定精神落实，持续发力纠“四风”、树新风，违规吃喝问题得到有效遏制。但是高压之下，违规吃喝也出现新动向新表现。梳理中央纪委国家监委网站通报的典型案例发现，违规吃喝主体隐蔽、花样翻新、地点转暗、结算复杂，增加了监督执纪的难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　　地点更隐蔽。通报案例中，有的把就餐地点转移到由私人住宅改造、具有私人会所性质的隐蔽场所。例如，安徽省铜陵市纪委监委今年2月底通报，枞阳县项铺镇原党委书记张颂等人，疫情防控期间在民营企业主疏某家中聚餐并饮酒。有的把接待地点转移到单位内部食堂、培训中心及私人企业餐厅。例如，山东省潍坊市滨海经济技术开发区先进制造产业园原党委副书记张志尊等人，疫情防控期间违规使用公车到企业内部接待餐厅接受管理服务对象宴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　　花样再翻新。通报案例中，既有借学习、考察、休假之名，组织宴请或接受企业接待，也有借会议、培训之名，组织会餐或安排宴请。例如，浙江省工艺美术研究院有限公司在杭州某饭店举办团拜聚餐活动，餐费及酒水等费用在公款内列支。还有的借工作指导为名，组织吃喝宴请，之后以接待上级考察名义用公款报销。例如，云南省砚山县阿猛镇文化广播电视服务中心原主任杨爱军以接待上级单位检查指导为名，采取虚开菜单、拼凑发票等手段，违规报销应由个人承担的餐费1.17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　　频使障眼法。在吃喝人员上，对陪餐人员和人数刻意控制，人数由多变“少”，控制陪餐人员为“自己人”。在吃喝方式上极力伪装。例如，天津市医药集团原党委书记、董事长张建津多次接受民营企业老板安排的宴请，将茅台、五粮液等高档酒装入矿泉水瓶带入饭店饮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　　结算更复杂。通报案例中，有的在会议费、培训费中变相支出；有的将公务接待费与职工餐费、工会经费、培训经费等混在一起。例如，湖南省常德市公安局巡警特警支队用公款购买、使用烟酒，并以办公用品、印刷费等名目报销烟酒费用6.13万元。有的利用自身职权或工作关系向下属单位转嫁、摊派吃喝费用；有的虚开发票、编造报销理由，或分次开票、改变开票类型违规报销。例如，宁夏回族自治区科技厅原厅长马清贵在北京个人用餐消费1.73万元，由下属公司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　　</w:t>
      </w:r>
      <w:r>
        <w:rPr>
          <w:rStyle w:val="6"/>
          <w:rFonts w:hint="eastAsia" w:ascii="Microsoft YaHei UI" w:hAnsi="Microsoft YaHei UI" w:eastAsia="Microsoft YaHei UI" w:cs="Microsoft YaHei UI"/>
          <w:i w:val="0"/>
          <w:caps w:val="0"/>
          <w:color w:val="333333"/>
          <w:spacing w:val="8"/>
          <w:sz w:val="27"/>
          <w:szCs w:val="27"/>
          <w:bdr w:val="none" w:color="auto" w:sz="0" w:space="0"/>
          <w:shd w:val="clear" w:fill="FFFFFF"/>
        </w:rPr>
        <w:t>坚守节点抓整治，完善长效治理机制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　　4月23日，中央纪委国家监委公布了2020年3月份全国查处违反中央八项规定精神问题汇总情况，这已是连续第79个月公布月报数据。数据显示，“违规吃喝”查处问题数585起、处理917人、党纪政务处分558人。其中，“违规接受管理和服务对象等宴请”161起、处理294人、处分181人，分别占27.5%、32.1%、32.4%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　　这是今年整治“四风”的一个新变化。十九届中央纪委四次全会强调，巩固拓展作风建设成效。全会后，中央纪委国家监委对查处享乐主义、奢靡之风问题的数据统计指标进行了优化调整，紧盯“不吃公款吃老板”等隐形变异问题，将“其他”项中的“违规接受管理和服务对象等宴请”作为另一统计子项单列，进一步突出了治理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　　数据背后是各地纪检监察机关聚焦违规吃喝，纠治“四风”问题的具体实践。在疫情防控监督工作中，天津市纪委监委组成6个监督检查组深入各地各部门，严肃查处组织和参与聚餐、聚会、打牌娱乐等聚集性活动。河南省纪委监委利用税务部门发票管理系统，查处机关事业单位和国有企业涉嫌违规吃喝、公款大额购买酒水等问题，提升发现线索、查纠问题的精准度、可靠性。甘肃省陇西县纪委监委梳理了报销违规吃喝费用的典型表现，通过强化财务管理、规范报销，把好“关口”，堵住“精致走账”的“暗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　　五一假期将至，违规吃喝在节日期间易发多发。持续疫情防控下，个别党员干部容易产生趁着假期出去放松、违规搞吃喝玩乐的念头。连日来，各地纪检监察机关加大对隐蔽公款吃喝违纪行为的查处力度，点名道姓通报曝光，既处理当事人，也对相应领导班子和领导干部进行责任追究，自上而下强化组织监督力度，坚决防止违规吃喝问题反弹，提前敲响警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　　守住重要节点，巩固拓展作风建设成效，就要坚持“三不”一体推进，持之以恒落实中央八项规定精神，大力深化整治形式主义、官僚主义，毫不松懈严查享乐、奢靡问题，努力构建纠治“四风”长效机制，推动化风成俗、成为习惯。（</w:t>
      </w: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lang w:val="en-US" w:eastAsia="zh-CN"/>
        </w:rPr>
        <w:t>转自</w:t>
      </w:r>
      <w:r>
        <w:rPr>
          <w:rFonts w:hint="eastAsia" w:ascii="Microsoft YaHei UI" w:hAnsi="Microsoft YaHei UI" w:eastAsia="Microsoft YaHei UI" w:cs="Microsoft YaHei UI"/>
          <w:b w:val="0"/>
          <w:i w:val="0"/>
          <w:caps w:val="0"/>
          <w:color w:val="333333"/>
          <w:spacing w:val="8"/>
          <w:sz w:val="27"/>
          <w:szCs w:val="27"/>
          <w:bdr w:val="none" w:color="auto" w:sz="0" w:space="0"/>
          <w:shd w:val="clear" w:fill="FFFFFF"/>
        </w:rPr>
        <w:t>中央纪委国家监委网站）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602C3"/>
    <w:rsid w:val="6A260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2020-04-28T00:54:00Z</dcterms:created>
  <dc:creator>机要</dc:creator>
  <cp:lastModifiedBy>机要</cp:lastModifiedBy>
  <dcterms:modified xsi:type="dcterms:W3CDTF">2020-04-28T01:00:52Z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